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F2" w:rsidRDefault="00B61FF2" w:rsidP="00B61FF2">
      <w:pPr>
        <w:keepNext/>
        <w:spacing w:after="0" w:line="240" w:lineRule="exact"/>
        <w:ind w:left="-284" w:firstLine="284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bCs/>
          <w:sz w:val="24"/>
          <w:szCs w:val="24"/>
          <w:lang w:eastAsia="ru-RU"/>
        </w:rP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F3956C8" wp14:editId="45C2F83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3B953B5" wp14:editId="57CD3F0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Timer Bashkir" w:eastAsia="Times New Roman" w:hAnsi="a_Timer Bashkir" w:cs="Times New Roman"/>
          <w:b/>
          <w:bCs/>
          <w:sz w:val="20"/>
          <w:szCs w:val="20"/>
          <w:lang w:val="be-BY" w:eastAsia="ru-RU"/>
        </w:rPr>
        <w:t>БАШКОРТОСТАН  РЕСПУБЛИКАҺЫ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           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>РЕСПУБЛИКА БАШКОРТОСТАН</w:t>
      </w:r>
    </w:p>
    <w:p w:rsidR="00B61FF2" w:rsidRDefault="00B61FF2" w:rsidP="00B61FF2">
      <w:pPr>
        <w:keepNext/>
        <w:spacing w:after="0" w:line="240" w:lineRule="exact"/>
        <w:jc w:val="center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</w:p>
    <w:p w:rsidR="00B61FF2" w:rsidRDefault="00B61FF2" w:rsidP="00B61FF2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АДМИНИСТРАЦИЯ</w:t>
      </w:r>
    </w:p>
    <w:p w:rsidR="00B61FF2" w:rsidRDefault="00B61FF2" w:rsidP="00B61FF2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B61FF2" w:rsidRDefault="00B61FF2" w:rsidP="00B61FF2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B61FF2" w:rsidRDefault="00B61FF2" w:rsidP="00B61FF2">
      <w:pPr>
        <w:keepNext/>
        <w:spacing w:after="0" w:line="240" w:lineRule="exact"/>
        <w:jc w:val="center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АУЫЛ БИЛӘМӘҺЕ ХӘКИМИӘТЕ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  МУНИЦИПАЛЬНОГО РАЙОНА</w:t>
      </w:r>
    </w:p>
    <w:p w:rsidR="00B61FF2" w:rsidRDefault="00B61FF2" w:rsidP="00B61FF2">
      <w:pPr>
        <w:keepNext/>
        <w:spacing w:after="0" w:line="240" w:lineRule="auto"/>
        <w:jc w:val="center"/>
        <w:outlineLvl w:val="1"/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                                                                                        СТЕРЛИБАШЕВСКИЙ РАЙОН</w:t>
      </w:r>
    </w:p>
    <w:p w:rsidR="00B61FF2" w:rsidRDefault="00B61FF2" w:rsidP="00B61FF2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          </w:t>
      </w:r>
    </w:p>
    <w:p w:rsidR="00B61FF2" w:rsidRDefault="00B61FF2" w:rsidP="00B6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05E9A" wp14:editId="52AA19ED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Acj5kJ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61FF2" w:rsidRDefault="00B61FF2" w:rsidP="00B6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БОЙОРО</w:t>
      </w:r>
      <w:r>
        <w:rPr>
          <w:rFonts w:ascii="Lucida Sans Unicode" w:eastAsia="Times New Roman" w:hAnsi="Lucida Sans Unicode" w:cs="Times New Roman"/>
          <w:b/>
          <w:sz w:val="24"/>
          <w:szCs w:val="24"/>
          <w:lang w:val="be-BY" w:eastAsia="ru-RU"/>
        </w:rPr>
        <w:t>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РАСПОРЯЖЕНИЕ</w:t>
      </w:r>
    </w:p>
    <w:p w:rsidR="00B61FF2" w:rsidRDefault="00B61FF2" w:rsidP="00B6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F2" w:rsidRDefault="00B61FF2" w:rsidP="00B6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D92">
        <w:rPr>
          <w:rFonts w:ascii="Times New Roman" w:eastAsia="Times New Roman" w:hAnsi="Times New Roman" w:cs="Times New Roman"/>
          <w:sz w:val="28"/>
          <w:szCs w:val="28"/>
          <w:lang w:eastAsia="ru-RU"/>
        </w:rPr>
        <w:t>02 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й.                          </w:t>
      </w:r>
      <w:r w:rsidR="0028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25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B61FF2" w:rsidRDefault="00B61FF2" w:rsidP="00B61FF2">
      <w:pPr>
        <w:pStyle w:val="Default"/>
      </w:pPr>
    </w:p>
    <w:p w:rsidR="00B61FF2" w:rsidRDefault="00B61FF2" w:rsidP="00B61FF2">
      <w:pPr>
        <w:pStyle w:val="Default"/>
      </w:pPr>
    </w:p>
    <w:p w:rsidR="00287D92" w:rsidRPr="00287D92" w:rsidRDefault="00287D92" w:rsidP="00287D92">
      <w:pPr>
        <w:spacing w:before="100" w:beforeAutospacing="1" w:after="100" w:afterAutospacing="1" w:line="240" w:lineRule="auto"/>
        <w:ind w:right="-2" w:firstLine="709"/>
        <w:jc w:val="both"/>
        <w:outlineLvl w:val="0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В целях реализации норм Федерального закона от 05 апреля 2013 № 44-ФЗ "О контрактной системе в сфере закупок товаров, работ, услуг для обеспечения государственных и муниципальных нужд",  эффективного использования средств бюджета </w:t>
      </w:r>
      <w:r w:rsidRPr="00287D92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>Аллагуватский</w:t>
      </w:r>
      <w:r w:rsidRPr="00287D92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 xml:space="preserve"> сельсовет</w:t>
      </w:r>
      <w:r w:rsidRPr="00287D92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Стерлибашевский  район Республики Башкортостан </w:t>
      </w:r>
      <w:r w:rsidRPr="00287D92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и внебюджетных источников финансирования: </w:t>
      </w:r>
    </w:p>
    <w:p w:rsidR="00287D92" w:rsidRPr="00287D92" w:rsidRDefault="00287D92" w:rsidP="00287D92">
      <w:pPr>
        <w:numPr>
          <w:ilvl w:val="0"/>
          <w:numId w:val="2"/>
        </w:numPr>
        <w:suppressAutoHyphens/>
        <w:spacing w:after="540" w:line="240" w:lineRule="auto"/>
        <w:ind w:right="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287D92">
        <w:rPr>
          <w:rFonts w:ascii="Times New Roman" w:eastAsia="Times New Roman" w:hAnsi="Times New Roman"/>
          <w:kern w:val="1"/>
          <w:sz w:val="28"/>
          <w:szCs w:val="28"/>
        </w:rPr>
        <w:t xml:space="preserve">Внести изменения в Положение о контрактном управляющем администрации сельского поселения </w:t>
      </w:r>
      <w:r w:rsidR="00890EC9">
        <w:rPr>
          <w:rFonts w:ascii="Times New Roman" w:eastAsia="Times New Roman" w:hAnsi="Times New Roman"/>
          <w:kern w:val="1"/>
          <w:sz w:val="28"/>
          <w:szCs w:val="28"/>
        </w:rPr>
        <w:t>Аллагуватский</w:t>
      </w:r>
      <w:r w:rsidR="008F0255">
        <w:rPr>
          <w:rFonts w:ascii="Times New Roman" w:eastAsia="Times New Roman" w:hAnsi="Times New Roman"/>
          <w:kern w:val="1"/>
          <w:sz w:val="28"/>
          <w:szCs w:val="28"/>
        </w:rPr>
        <w:t xml:space="preserve">  сельсовет  № 25</w:t>
      </w:r>
      <w:bookmarkStart w:id="0" w:name="_GoBack"/>
      <w:bookmarkEnd w:id="0"/>
      <w:r w:rsidR="008B3706">
        <w:rPr>
          <w:rFonts w:ascii="Times New Roman" w:eastAsia="Times New Roman" w:hAnsi="Times New Roman"/>
          <w:kern w:val="1"/>
          <w:sz w:val="28"/>
          <w:szCs w:val="28"/>
        </w:rPr>
        <w:t xml:space="preserve"> от 02.12.2020</w:t>
      </w:r>
      <w:r w:rsidRPr="00287D92">
        <w:rPr>
          <w:rFonts w:ascii="Times New Roman" w:eastAsia="Times New Roman" w:hAnsi="Times New Roman"/>
          <w:kern w:val="1"/>
          <w:sz w:val="28"/>
          <w:szCs w:val="28"/>
        </w:rPr>
        <w:t xml:space="preserve"> года, исключить </w:t>
      </w:r>
      <w:proofErr w:type="spellStart"/>
      <w:r w:rsidRPr="00287D92">
        <w:rPr>
          <w:rFonts w:ascii="Times New Roman" w:eastAsia="Times New Roman" w:hAnsi="Times New Roman"/>
          <w:kern w:val="1"/>
          <w:sz w:val="28"/>
          <w:szCs w:val="28"/>
        </w:rPr>
        <w:t>п.п</w:t>
      </w:r>
      <w:proofErr w:type="spellEnd"/>
      <w:r w:rsidRPr="00287D92">
        <w:rPr>
          <w:rFonts w:ascii="Times New Roman" w:eastAsia="Times New Roman" w:hAnsi="Times New Roman"/>
          <w:kern w:val="1"/>
          <w:sz w:val="28"/>
          <w:szCs w:val="28"/>
        </w:rPr>
        <w:t xml:space="preserve">. «а-в, д» п. 1 ч. 9, п. 2 ч. 10 Положения о контрактном управляющем администрации сельского поселения </w:t>
      </w:r>
      <w:r>
        <w:rPr>
          <w:rFonts w:ascii="Times New Roman" w:eastAsia="Times New Roman" w:hAnsi="Times New Roman"/>
          <w:kern w:val="1"/>
          <w:sz w:val="28"/>
          <w:szCs w:val="28"/>
        </w:rPr>
        <w:t>Аллагуватский</w:t>
      </w:r>
      <w:r w:rsidRPr="00287D92">
        <w:rPr>
          <w:rFonts w:ascii="Times New Roman" w:eastAsia="Times New Roman" w:hAnsi="Times New Roman"/>
          <w:kern w:val="1"/>
          <w:sz w:val="28"/>
          <w:szCs w:val="28"/>
        </w:rPr>
        <w:t xml:space="preserve">  сельсовет.</w:t>
      </w:r>
    </w:p>
    <w:p w:rsidR="00287D92" w:rsidRPr="00287D92" w:rsidRDefault="00287D92" w:rsidP="00287D92">
      <w:pPr>
        <w:numPr>
          <w:ilvl w:val="0"/>
          <w:numId w:val="2"/>
        </w:numPr>
        <w:suppressAutoHyphens/>
        <w:spacing w:after="540" w:line="240" w:lineRule="auto"/>
        <w:ind w:right="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 w:rsidRPr="00287D92">
        <w:rPr>
          <w:rFonts w:ascii="Times New Roman" w:eastAsia="Times New Roman" w:hAnsi="Times New Roman"/>
          <w:kern w:val="1"/>
          <w:sz w:val="28"/>
          <w:szCs w:val="28"/>
        </w:rPr>
        <w:t>Контроль за</w:t>
      </w:r>
      <w:proofErr w:type="gramEnd"/>
      <w:r w:rsidRPr="00287D92">
        <w:rPr>
          <w:rFonts w:ascii="Times New Roman" w:eastAsia="Times New Roman" w:hAnsi="Times New Roman"/>
          <w:kern w:val="1"/>
          <w:sz w:val="28"/>
          <w:szCs w:val="28"/>
        </w:rPr>
        <w:t xml:space="preserve"> исполнением данного распоряжения оставляю за собой.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287D92" w:rsidRPr="00287D92" w:rsidTr="00B53638">
        <w:tc>
          <w:tcPr>
            <w:tcW w:w="7797" w:type="dxa"/>
          </w:tcPr>
          <w:p w:rsidR="00287D92" w:rsidRPr="00287D92" w:rsidRDefault="00287D92" w:rsidP="00287D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87D92" w:rsidRPr="00287D92" w:rsidRDefault="00287D92" w:rsidP="00287D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 с</w:t>
            </w:r>
            <w:r w:rsidRPr="00287D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ельского поселения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А.Г.Кулсарина</w:t>
            </w:r>
            <w:proofErr w:type="spellEnd"/>
            <w:r w:rsidRPr="00287D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984" w:type="dxa"/>
          </w:tcPr>
          <w:p w:rsidR="00287D92" w:rsidRPr="00287D92" w:rsidRDefault="00287D92" w:rsidP="00287D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7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  </w:t>
            </w:r>
          </w:p>
        </w:tc>
      </w:tr>
    </w:tbl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11DAA" w:rsidRDefault="00D11DAA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11DAA" w:rsidRPr="00287D92" w:rsidRDefault="00D11DAA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7D92" w:rsidRPr="00287D92" w:rsidRDefault="00287D92" w:rsidP="00287D92">
      <w:pPr>
        <w:spacing w:after="0"/>
        <w:ind w:left="5387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87D9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Утверждено распоряжением </w:t>
      </w:r>
    </w:p>
    <w:p w:rsidR="00287D92" w:rsidRPr="00287D92" w:rsidRDefault="00287D92" w:rsidP="00287D92">
      <w:pPr>
        <w:spacing w:after="0" w:line="240" w:lineRule="auto"/>
        <w:ind w:left="5386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87D9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главы Администрации сельского поселения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Аллагуватский </w:t>
      </w:r>
      <w:r w:rsidRPr="00287D9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 </w:t>
      </w:r>
    </w:p>
    <w:p w:rsidR="00287D92" w:rsidRPr="00287D92" w:rsidRDefault="00287D92" w:rsidP="00287D92">
      <w:pPr>
        <w:tabs>
          <w:tab w:val="left" w:pos="5387"/>
        </w:tabs>
        <w:spacing w:after="0" w:line="240" w:lineRule="auto"/>
        <w:ind w:left="6096" w:hanging="710"/>
        <w:jc w:val="right"/>
        <w:rPr>
          <w:rFonts w:eastAsiaTheme="minorEastAsia" w:cs="Times New Roman"/>
          <w:sz w:val="26"/>
          <w:szCs w:val="26"/>
          <w:lang w:eastAsia="ru-RU"/>
        </w:rPr>
      </w:pPr>
      <w:r w:rsidRPr="00287D9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«02» декабря  2020 №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25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 О КОНТРАКТНОМ УПРАВЛЯЮЩЕМ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29"/>
      <w:bookmarkEnd w:id="1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I. Общие положения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Настоящее положение о контрактном управляющем (далее - 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нужд сельского поселения.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Контрактный управляющий назначается в целях обеспечения планирования и осуществления Администрацией </w:t>
      </w:r>
      <w:r w:rsidRPr="00287D92">
        <w:rPr>
          <w:rFonts w:ascii="Times New Roman" w:eastAsiaTheme="minorEastAsia" w:hAnsi="Times New Roman" w:cs="Times New Roman"/>
          <w:bCs/>
          <w:kern w:val="1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Theme="minorEastAsia" w:hAnsi="Times New Roman" w:cs="Times New Roman"/>
          <w:bCs/>
          <w:kern w:val="1"/>
          <w:sz w:val="28"/>
          <w:szCs w:val="28"/>
          <w:lang w:eastAsia="ru-RU"/>
        </w:rPr>
        <w:t xml:space="preserve">Аллагуватский </w:t>
      </w:r>
      <w:r w:rsidRPr="00287D92">
        <w:rPr>
          <w:rFonts w:ascii="Times New Roman" w:eastAsiaTheme="minorEastAsia" w:hAnsi="Times New Roman" w:cs="Times New Roman"/>
          <w:bCs/>
          <w:kern w:val="1"/>
          <w:sz w:val="28"/>
          <w:szCs w:val="28"/>
          <w:lang w:eastAsia="ru-RU"/>
        </w:rPr>
        <w:t xml:space="preserve"> сельсовет муниципального района  Стерлибашевский район Республики Башкортостан </w:t>
      </w: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(далее - Заказчик) закупок товаров, работ, услуг для обеспечения нужд сельского поселения (далее - закупка).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Контрактный управляющий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свободный доступ к информации о совершаемых контрактным управляющим действиях, направленных на обеспечение нужд сельского поселения, в том числе способах осуществления закупок и их результатах;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нужд сельского поселения;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достижение Заказчиком заданных результатов обеспечения нужд сельского поселения.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Контрактный управляющий назначается Заказчиком. 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Руководитель Заказчика в целях повышения эффективности работы </w:t>
      </w: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 формировании организационной структуры определяет должностные обязанности и персональную ответственность контрактного управляющего. 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Функциональные обязанности контрактного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управляющего: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54"/>
      <w:bookmarkEnd w:id="2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планирование закупок;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сельских поселений;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64"/>
      <w:bookmarkEnd w:id="3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обоснование закупок;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обоснование начальной (максимальной) цены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обязательное общественное обсуждение закупок;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привлечение экспертов, экспертных организаций;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организация заключения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(Положением), утвержденным Заказчиком в соответствии с настоящим Положением.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81"/>
      <w:bookmarkEnd w:id="4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Функции и полномочия контрактного управляющего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83"/>
      <w:bookmarkEnd w:id="5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Контрактный управляющий осуществляет следующие функции и полномочия: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88"/>
      <w:bookmarkEnd w:id="6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 планировании закупок: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 определении поставщиков (подрядчиков, исполнителей):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выбирает способ определения поставщика (подрядчика, исполнителя);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организует подготовку описания объекта закупки в документации о закупке;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осуществляет организационно-техническое обеспечение </w:t>
      </w: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деятельности комиссий по осуществлению закупок, в том числе обеспечивает проверку: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объектом закупки;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правомочности участника закупки заключать контракт;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неприостановления</w:t>
      </w:r>
      <w:proofErr w:type="spellEnd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участника закупки в порядке, установленном </w:t>
      </w:r>
      <w:hyperlink r:id="rId11" w:tooltip="&quot;Кодекс Российской Федерации об административных правонарушениях&quot; от 30.12.2001 N 195-ФЗ (ред. от 28.12.2013) (с изм. и доп., вступ. в силу с 21.01.2014)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соответствия дополнительным требованиям, устанавливаемым в соответствии с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31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размещением;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у) привлекает экспертов, экспертные организации;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</w:t>
      </w: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регулированию контрактной системы в сфере закупок, в соответствии с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3 статьи 84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25 части 1 статьи 93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ч) обеспечивает заключение контрактов;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 исполнении, изменении, расторжении контракта: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подготавливает документ о приемке результатов отдельного этапа </w:t>
      </w: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исполнения контракта, а также поставленного товара, выполненной работы или оказанной услуги;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</w:t>
      </w:r>
      <w:proofErr w:type="gramEnd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142"/>
      <w:bookmarkEnd w:id="7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Контрактный управляющий осуществляет иные полномочия, предусмотренные Федеральным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сельского поселения;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разрабатывает проекты контрактов, в том числе типовых контрактов Заказчика, типовых условий контрактов Заказчика;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информирует в случае отказа Заказчика в принятии банковской гарантии об этом лицо, предоставившее банковскую гарантию, с указанием </w:t>
      </w: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причин, послуживших основанием для отказа;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организует осуществление уплаты денежных сумм по банковской гарантии в случаях, предусмотренных Федеральным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В целях реализации функций и полномочий, указанных в 9, </w:t>
      </w:r>
      <w:hyperlink w:anchor="Par142" w:tooltip="Ссылка на текущий документ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настоящего Положения контрактный управляющий обязан соблюдать обязательства и требования, установленные Федеральным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числе: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 своей работе экспертов, экспертные организации.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При централизации закупок в соответствии со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26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Par83" w:tooltip="Ссылка на текущий документ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1</w:t>
      </w:r>
      <w:hyperlink w:anchor="Par142" w:tooltip="Ссылка на текущий документ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Положение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ar162"/>
      <w:bookmarkEnd w:id="8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III. Ответственность контрактного управляющего</w:t>
      </w: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87D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87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287D92" w:rsidRPr="00287D92" w:rsidRDefault="00287D92" w:rsidP="00287D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1FF2" w:rsidRDefault="00B61FF2" w:rsidP="00B61FF2">
      <w:pPr>
        <w:pStyle w:val="Default"/>
      </w:pPr>
    </w:p>
    <w:p w:rsidR="00B61FF2" w:rsidRDefault="00B61FF2" w:rsidP="00B61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FF2" w:rsidRPr="00287D92" w:rsidRDefault="00B61FF2" w:rsidP="00B61FF2">
      <w:pPr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287D92">
        <w:rPr>
          <w:rFonts w:ascii="Times New Roman" w:hAnsi="Times New Roman" w:cs="Times New Roman"/>
          <w:sz w:val="28"/>
          <w:szCs w:val="28"/>
        </w:rPr>
        <w:t>А.Г.Кулсарина</w:t>
      </w:r>
      <w:proofErr w:type="spellEnd"/>
    </w:p>
    <w:p w:rsidR="00DC2DB1" w:rsidRPr="00287D92" w:rsidRDefault="00DC2DB1" w:rsidP="00B61FF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DC2DB1" w:rsidRPr="00287D92" w:rsidSect="00287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856"/>
    <w:multiLevelType w:val="hybridMultilevel"/>
    <w:tmpl w:val="C4EC3090"/>
    <w:lvl w:ilvl="0" w:tplc="18A28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56247C"/>
    <w:multiLevelType w:val="hybridMultilevel"/>
    <w:tmpl w:val="B72A4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47"/>
    <w:rsid w:val="00287D92"/>
    <w:rsid w:val="00547B22"/>
    <w:rsid w:val="00890EC9"/>
    <w:rsid w:val="008B3706"/>
    <w:rsid w:val="008F0255"/>
    <w:rsid w:val="00B61FF2"/>
    <w:rsid w:val="00BB3CBE"/>
    <w:rsid w:val="00C36C47"/>
    <w:rsid w:val="00D11DAA"/>
    <w:rsid w:val="00D34879"/>
    <w:rsid w:val="00DC2DB1"/>
    <w:rsid w:val="00E349A4"/>
    <w:rsid w:val="00E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04499BEF1245FFC69194D01F95CC20B068147C1EC8EFE2186FFXBrCI" TargetMode="External"/><Relationship Id="rId13" Type="http://schemas.openxmlformats.org/officeDocument/2006/relationships/hyperlink" Target="consultantplus://offline/ref=7D604499BEF1245FFC69194D01F95CC2080B8142C9BDD9FC70D3F1B992X8r2I" TargetMode="External"/><Relationship Id="rId18" Type="http://schemas.openxmlformats.org/officeDocument/2006/relationships/hyperlink" Target="consultantplus://offline/ref=9BBC7FBDCE461E62B4620B434F51387BC69367CCD0D308F887B407CDD7Y3r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BC7FBDCE461E62B4620B434F51387BC69367CCD0D308F887B407CDD7Y3rE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604499BEF1245FFC69194D01F95CC2080B8142C9BDD9FC70D3F1B99282BFF9F2F2A5E5C87EAE09XDr6I" TargetMode="External"/><Relationship Id="rId17" Type="http://schemas.openxmlformats.org/officeDocument/2006/relationships/hyperlink" Target="consultantplus://offline/ref=9BBC7FBDCE461E62B4620B434F51387BC69367CCD0D308F887B407CDD7Y3rE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BC7FBDCE461E62B4620B434F51387BC69367CCD0D308F887B407CDD73E1F162688EF4947137352Y6r8I" TargetMode="External"/><Relationship Id="rId20" Type="http://schemas.openxmlformats.org/officeDocument/2006/relationships/hyperlink" Target="consultantplus://offline/ref=9BBC7FBDCE461E62B4620B434F51387BC69367CCD0D308F887B407CDD7Y3r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604499BEF1245FFC69194D01F95CC2080B8345C2BED9FC70D3F1B992X8r2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BC7FBDCE461E62B4620B434F51387BC69367CCD0D308F887B407CDD73E1F162688EF494713705EY6rEI" TargetMode="External"/><Relationship Id="rId23" Type="http://schemas.openxmlformats.org/officeDocument/2006/relationships/hyperlink" Target="consultantplus://offline/ref=9BBC7FBDCE461E62B4620B434F51387BC69367CCD0D308F887B407CDD7Y3rEI" TargetMode="External"/><Relationship Id="rId10" Type="http://schemas.openxmlformats.org/officeDocument/2006/relationships/hyperlink" Target="consultantplus://offline/ref=7D604499BEF1245FFC69194D01F95CC2080B8142C9BDD9FC70D3F1B992X8r2I" TargetMode="External"/><Relationship Id="rId19" Type="http://schemas.openxmlformats.org/officeDocument/2006/relationships/hyperlink" Target="consultantplus://offline/ref=9BBC7FBDCE461E62B4620B434F51387BC69367CCD0D308F887B407CDD7Y3r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604499BEF1245FFC69194D01F95CC2080B8142C9BDD9FC70D3F1B992X8r2I" TargetMode="External"/><Relationship Id="rId14" Type="http://schemas.openxmlformats.org/officeDocument/2006/relationships/hyperlink" Target="consultantplus://offline/ref=7D604499BEF1245FFC69194D01F95CC2080B8142C9BDD9FC70D3F1B992X8r2I" TargetMode="External"/><Relationship Id="rId22" Type="http://schemas.openxmlformats.org/officeDocument/2006/relationships/hyperlink" Target="consultantplus://offline/ref=9BBC7FBDCE461E62B4620B434F51387BC69367CCD0D308F887B407CDD73E1F162688EF4947127353Y6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95D4-21E3-41C7-8A83-23FD3D5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2020-12-03T05:16:00Z</cp:lastPrinted>
  <dcterms:created xsi:type="dcterms:W3CDTF">2020-11-30T03:37:00Z</dcterms:created>
  <dcterms:modified xsi:type="dcterms:W3CDTF">2020-12-07T10:29:00Z</dcterms:modified>
</cp:coreProperties>
</file>